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B9F22">
      <w:pPr>
        <w:rPr>
          <w:rFonts w:hint="eastAsia"/>
          <w:color w:val="0070C0"/>
          <w:lang w:val="en-US" w:eastAsia="zh-CN"/>
        </w:rPr>
      </w:pPr>
      <w:bookmarkStart w:id="0" w:name="_GoBack"/>
      <w:r>
        <w:rPr>
          <w:rFonts w:hint="eastAsia"/>
          <w:color w:val="0070C0"/>
          <w:lang w:val="en-US" w:eastAsia="zh-CN"/>
        </w:rPr>
        <w:t>附件《</w:t>
      </w:r>
      <w:r>
        <w:rPr>
          <w:rFonts w:hint="eastAsia" w:ascii="宋体" w:hAnsi="宋体" w:eastAsia="宋体" w:cs="宋体"/>
          <w:i w:val="0"/>
          <w:iCs w:val="0"/>
          <w:color w:val="0070C0"/>
          <w:kern w:val="0"/>
          <w:sz w:val="21"/>
          <w:szCs w:val="21"/>
          <w:highlight w:val="none"/>
          <w:u w:val="none"/>
          <w:lang w:val="en-US" w:eastAsia="zh-CN" w:bidi="ar"/>
        </w:rPr>
        <w:t>合同模板</w:t>
      </w:r>
      <w:r>
        <w:rPr>
          <w:rFonts w:hint="eastAsia"/>
          <w:color w:val="0070C0"/>
          <w:lang w:val="en-US" w:eastAsia="zh-CN"/>
        </w:rPr>
        <w:t>》</w:t>
      </w:r>
    </w:p>
    <w:bookmarkEnd w:id="0"/>
    <w:p w14:paraId="546ACE53">
      <w:pPr>
        <w:spacing w:before="111" w:line="224" w:lineRule="auto"/>
        <w:rPr>
          <w:rFonts w:ascii="宋体" w:hAnsi="宋体" w:eastAsia="宋体" w:cs="宋体"/>
          <w:spacing w:val="-32"/>
          <w:sz w:val="34"/>
          <w:szCs w:val="34"/>
        </w:rPr>
      </w:pPr>
    </w:p>
    <w:p w14:paraId="184E4C17">
      <w:pPr>
        <w:pStyle w:val="2"/>
        <w:bidi w:val="0"/>
        <w:jc w:val="center"/>
      </w:pPr>
      <w:r>
        <w:rPr>
          <w:rFonts w:hint="eastAsia" w:ascii="仿宋_GB2312" w:hAnsi="仿宋_GB2312" w:eastAsia="仿宋_GB2312" w:cs="仿宋_GB2312"/>
          <w:b/>
          <w:snapToGrid/>
          <w:kern w:val="2"/>
          <w:sz w:val="24"/>
          <w:szCs w:val="24"/>
          <w:lang w:val="en-US" w:eastAsia="zh-CN"/>
        </w:rPr>
        <w:t xml:space="preserve">              </w:t>
      </w:r>
      <w:r>
        <w:t>隔压二站配电室高压柜维保</w:t>
      </w:r>
      <w:r>
        <w:rPr>
          <w:rFonts w:hint="eastAsia"/>
        </w:rPr>
        <w:t>合同</w:t>
      </w:r>
    </w:p>
    <w:p w14:paraId="08B9FB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合同编号：__________</w:t>
      </w:r>
    </w:p>
    <w:p w14:paraId="305326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甲方（发包方）：________________________</w:t>
      </w:r>
    </w:p>
    <w:p w14:paraId="2C8C42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统一社会信用代码：____________________</w:t>
      </w:r>
    </w:p>
    <w:p w14:paraId="6A80BA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地址：________________________________</w:t>
      </w:r>
    </w:p>
    <w:p w14:paraId="464217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联系人：__________ </w:t>
      </w:r>
    </w:p>
    <w:p w14:paraId="166E0A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联系电话：____________</w:t>
      </w:r>
    </w:p>
    <w:p w14:paraId="77EC43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乙方（承包方）：________________________</w:t>
      </w:r>
    </w:p>
    <w:p w14:paraId="0817C9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统一社会信用代码：____________________</w:t>
      </w:r>
    </w:p>
    <w:p w14:paraId="0DC3B8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地址：________________________________</w:t>
      </w:r>
    </w:p>
    <w:p w14:paraId="57D5B9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联系人：__________ </w:t>
      </w:r>
    </w:p>
    <w:p w14:paraId="405C3F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联系电话：____________</w:t>
      </w:r>
    </w:p>
    <w:p w14:paraId="22EFC98F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项目概况与服务内容</w:t>
      </w:r>
    </w:p>
    <w:p w14:paraId="6FC00542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一、高压柜二次保护设备更换</w:t>
      </w:r>
    </w:p>
    <w:p w14:paraId="0693F6C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设备供货（原厂全新正品，型号数量严格执行招标清单）</w:t>
      </w:r>
    </w:p>
    <w:tbl>
      <w:tblPr>
        <w:tblStyle w:val="7"/>
        <w:tblW w:w="7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4"/>
        <w:gridCol w:w="1233"/>
        <w:gridCol w:w="2158"/>
        <w:gridCol w:w="504"/>
        <w:gridCol w:w="504"/>
        <w:gridCol w:w="2597"/>
      </w:tblGrid>
      <w:tr w14:paraId="74469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66DE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F0E4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2737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指定型号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79C5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B382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0533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核心定制要求</w:t>
            </w:r>
          </w:p>
        </w:tc>
      </w:tr>
      <w:tr w14:paraId="2AE39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EF55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667A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10KV线路微机保护装置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2274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SMG-50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C4A7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7797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B59CB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原厂全新整机，适配现有10kV进线线路柜，兼容原有接线端子、通讯协议</w:t>
            </w:r>
          </w:p>
        </w:tc>
      </w:tr>
      <w:tr w14:paraId="4A99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0272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C6BC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10KV馈线微机保护装置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356CB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SMG-55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A24C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9F0F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8FD21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原厂全新整机，适配10kV馈线出线柜，带防越级跳闸、故障录波功能</w:t>
            </w:r>
          </w:p>
        </w:tc>
      </w:tr>
      <w:tr w14:paraId="0F2F6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456D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12E4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10KV电动机微机保护装置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FF34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SMG-90B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0C1E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DECB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8391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原厂全新整机，专用高压电机保护，过载、堵转、零序、过热保护齐全</w:t>
            </w:r>
          </w:p>
        </w:tc>
      </w:tr>
      <w:tr w14:paraId="61F63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02D7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5CA7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10KV二次消谐装置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C36F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H2-XX-2000A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4571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AB96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9E06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原厂全新，适配PT柜内置安装，智能微机消谐，大小谐振自主识别消谐</w:t>
            </w:r>
          </w:p>
        </w:tc>
      </w:tr>
      <w:tr w14:paraId="39C9C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2E14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7AFB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中央信号装置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A73E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FYXH-32B1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ACEC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C10C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5042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声光报警、故障分类告警、遥信上传，适配整套保护联动告警</w:t>
            </w:r>
          </w:p>
        </w:tc>
      </w:tr>
      <w:tr w14:paraId="7DF97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96F7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C2FA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智能操控装置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5FB6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HY-CK-9100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或质量不低于以上型号的产品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FD12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5046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67EE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柜内嵌入式安装，测温、带电显示、分合闸控制、闭锁、温湿度一体化</w:t>
            </w:r>
          </w:p>
        </w:tc>
      </w:tr>
      <w:tr w14:paraId="52A25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8A4D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F91F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直流屏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DB44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40AH/DC220V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D84A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08A1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618F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落地式整套屏柜，含充电模块、蓄电池、监控单元、馈电回路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。</w:t>
            </w:r>
          </w:p>
        </w:tc>
      </w:tr>
    </w:tbl>
    <w:p w14:paraId="23C6097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配套施工：旧设备拆除、二次线缆整理、新设备安装固定、端子压接接线、接地施工、后台通讯对点、保护定值整定、二次耐压 / 回路校验、全站联动试验、废旧设备清运、现场清洁；</w:t>
      </w:r>
    </w:p>
    <w:p w14:paraId="2B49ACE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资料交付、运维培训、竣工验收、质保维保全流程服务。</w:t>
      </w:r>
    </w:p>
    <w:p w14:paraId="550B8E0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default"/>
          <w:color w:val="1F2329"/>
          <w:sz w:val="24"/>
          <w:szCs w:val="24"/>
          <w:lang w:val="en-US"/>
        </w:rPr>
      </w:pPr>
      <w:r>
        <w:rPr>
          <w:rFonts w:hint="eastAsia"/>
          <w:color w:val="1F2329"/>
          <w:sz w:val="24"/>
          <w:szCs w:val="24"/>
          <w:lang w:val="en-US" w:eastAsia="zh-CN"/>
        </w:rPr>
        <w:t>二、隔压一站及隔压二站带电清洗及铜牌保护套更换</w:t>
      </w:r>
    </w:p>
    <w:p w14:paraId="27061BE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清洗范围：站内高压绝缘子、10kV 开关柜、干式变压器、低压配电柜、箱变、母线排、PLC 电控机柜等全部带电运行电气设备；</w:t>
      </w:r>
    </w:p>
    <w:p w14:paraId="3E8DB73E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服务内容：现场勘察风险评估、绝缘遮蔽防护、分级带电清洗、清洗后绝缘复测、现场清理、影像记录、竣工检测报告、12 个月质保复检服务；</w:t>
      </w:r>
    </w:p>
    <w:p w14:paraId="2B92C8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1.3 合同工期</w:t>
      </w:r>
    </w:p>
    <w:p w14:paraId="6DF32D13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二次设备更换改造：甲方下达进场通知后</w:t>
      </w:r>
      <w:r>
        <w:rPr>
          <w:rStyle w:val="9"/>
          <w:rFonts w:hint="eastAsia"/>
          <w:b/>
          <w:bCs/>
          <w:color w:val="1F2329"/>
          <w:sz w:val="24"/>
          <w:szCs w:val="24"/>
          <w:lang w:val="en-US" w:eastAsia="zh-CN"/>
        </w:rPr>
        <w:t>30</w:t>
      </w:r>
      <w:r>
        <w:rPr>
          <w:rStyle w:val="9"/>
          <w:b/>
          <w:bCs/>
          <w:color w:val="1F2329"/>
          <w:sz w:val="24"/>
          <w:szCs w:val="24"/>
        </w:rPr>
        <w:t xml:space="preserve"> 日</w:t>
      </w:r>
      <w:r>
        <w:rPr>
          <w:color w:val="1F2329"/>
          <w:sz w:val="24"/>
          <w:szCs w:val="24"/>
        </w:rPr>
        <w:t>内完成供货、安装、调试、验收交付；逾期每日按合同总价款 0.5% 支付违约金；</w:t>
      </w:r>
    </w:p>
    <w:p w14:paraId="6AF9535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遇暴雨、大风、高湿、设备故障等不可作业条件，工期经双方书面确认后顺延。</w:t>
      </w:r>
    </w:p>
    <w:p w14:paraId="128DC3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第二条 合同价款及支付方式</w:t>
      </w:r>
    </w:p>
    <w:p w14:paraId="3519D28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2.1 合同总价</w:t>
      </w:r>
    </w:p>
    <w:p w14:paraId="5CA045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本合同为</w:t>
      </w:r>
      <w:r>
        <w:rPr>
          <w:rStyle w:val="9"/>
          <w:rFonts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固定总价含税包干价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，合同总金额人民币（大写）：________________元整（¥________）。价款包含：设备采购费、运输费、辅材、人工、机具、清洗剂耗材、试验检测、安全防护、垃圾清运、税费、培训、质保售后等全部费用，甲方无需额外支付任何款项。报价明细作为本合同附件一，与本合同具备同等法律效力。</w:t>
      </w:r>
    </w:p>
    <w:p w14:paraId="002FEC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2.2 付款节点</w:t>
      </w:r>
    </w:p>
    <w:p w14:paraId="5BB66D1F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竣工</w:t>
      </w:r>
      <w:r>
        <w:rPr>
          <w:rFonts w:hint="eastAsia"/>
          <w:color w:val="1F2329"/>
          <w:sz w:val="24"/>
          <w:szCs w:val="24"/>
          <w:lang w:val="en-US" w:eastAsia="zh-CN"/>
        </w:rPr>
        <w:t>结款</w:t>
      </w:r>
      <w:r>
        <w:rPr>
          <w:color w:val="1F2329"/>
          <w:sz w:val="24"/>
          <w:szCs w:val="24"/>
        </w:rPr>
        <w:t>：全套资料移交完毕，整体竣工</w:t>
      </w:r>
      <w:r>
        <w:rPr>
          <w:rFonts w:hint="eastAsia"/>
          <w:color w:val="1F2329"/>
          <w:sz w:val="24"/>
          <w:szCs w:val="24"/>
          <w:lang w:val="en-US" w:eastAsia="zh-CN"/>
        </w:rPr>
        <w:t>验收合格，</w:t>
      </w:r>
      <w:r>
        <w:rPr>
          <w:color w:val="1F2329"/>
          <w:sz w:val="24"/>
          <w:szCs w:val="24"/>
        </w:rPr>
        <w:t>双方签署验收单</w:t>
      </w:r>
      <w:r>
        <w:rPr>
          <w:rFonts w:hint="eastAsia"/>
          <w:color w:val="1F2329"/>
          <w:sz w:val="24"/>
          <w:szCs w:val="24"/>
          <w:lang w:val="en-US" w:eastAsia="zh-CN"/>
        </w:rPr>
        <w:t>后支付97%，质保期满结清尾款。乙方需提供相应额度的专票</w:t>
      </w:r>
      <w:r>
        <w:rPr>
          <w:color w:val="1F2329"/>
          <w:sz w:val="24"/>
          <w:szCs w:val="24"/>
        </w:rPr>
        <w:t>后</w:t>
      </w:r>
      <w:r>
        <w:rPr>
          <w:rFonts w:hint="eastAsia"/>
          <w:color w:val="1F2329"/>
          <w:sz w:val="24"/>
          <w:szCs w:val="24"/>
          <w:lang w:val="en-US" w:eastAsia="zh-CN"/>
        </w:rPr>
        <w:t>付款。</w:t>
      </w:r>
    </w:p>
    <w:p w14:paraId="3A34A2FC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质保金：预留合同总价_</w:t>
      </w:r>
      <w:r>
        <w:rPr>
          <w:color w:val="1F2329"/>
          <w:sz w:val="24"/>
          <w:szCs w:val="24"/>
          <w:u w:val="single"/>
        </w:rPr>
        <w:t>_</w:t>
      </w:r>
      <w:r>
        <w:rPr>
          <w:rFonts w:hint="eastAsia"/>
          <w:color w:val="1F2329"/>
          <w:sz w:val="24"/>
          <w:szCs w:val="24"/>
          <w:u w:val="single"/>
          <w:lang w:val="en-US" w:eastAsia="zh-CN"/>
        </w:rPr>
        <w:t>3</w:t>
      </w:r>
      <w:r>
        <w:rPr>
          <w:color w:val="1F2329"/>
          <w:sz w:val="24"/>
          <w:szCs w:val="24"/>
          <w:u w:val="single"/>
        </w:rPr>
        <w:t>__</w:t>
      </w:r>
      <w:r>
        <w:rPr>
          <w:color w:val="1F2329"/>
          <w:sz w:val="24"/>
          <w:szCs w:val="24"/>
        </w:rPr>
        <w:t>% 作为质保金，质保期满无质量问题无息一次性付清。</w:t>
      </w:r>
    </w:p>
    <w:p w14:paraId="3D6421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2.3 发票要求</w:t>
      </w:r>
    </w:p>
    <w:p w14:paraId="154B90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乙方收款前需向甲方开具等额合规增值税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专用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发票，未提供发票甲方有权顺延付款，不承担逾期付款责任。</w:t>
      </w:r>
    </w:p>
    <w:p w14:paraId="26F853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第三条 双方资质、人员、材料设备约定</w:t>
      </w:r>
    </w:p>
    <w:p w14:paraId="7DAADA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3.1 乙方资质要求</w:t>
      </w:r>
    </w:p>
    <w:p w14:paraId="7278B457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乙方具备有效营业执照、电力设施承装（修、试）资质、安全生产许可证；二次保护设备全部为原厂全新整机，提供出厂合格证、试验报告、机身序列号可官网核验，禁止翻新、贴牌、改装设备；</w:t>
      </w:r>
    </w:p>
    <w:p w14:paraId="4D05CEB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1F2329"/>
          <w:sz w:val="24"/>
          <w:szCs w:val="24"/>
        </w:rPr>
      </w:pPr>
    </w:p>
    <w:p w14:paraId="39B8C7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第四条 施工规范与安全管理</w:t>
      </w:r>
    </w:p>
    <w:p w14:paraId="1B2F20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4.1 二次设备改造施工要求</w:t>
      </w:r>
    </w:p>
    <w:p w14:paraId="6B776570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仅允许改造二次控制回路，严禁改动高压一次主回路、母线结构；</w:t>
      </w:r>
    </w:p>
    <w:p w14:paraId="42E0F47A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完成二次回路绝缘、耐压、联动试验，保护定值精准，遥测、遥信、遥控、告警全部接入原有监控后台；</w:t>
      </w:r>
    </w:p>
    <w:p w14:paraId="232B7082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废旧二次设备由乙方统一清运处置，施工场地完工恢复整洁。</w:t>
      </w:r>
    </w:p>
    <w:p w14:paraId="0C4A517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4.</w:t>
      </w:r>
      <w:r>
        <w:rPr>
          <w:rFonts w:hint="eastAsia"/>
          <w:color w:val="1F2329"/>
          <w:sz w:val="24"/>
          <w:szCs w:val="24"/>
          <w:lang w:val="en-US" w:eastAsia="zh-CN"/>
        </w:rPr>
        <w:t>2</w:t>
      </w:r>
      <w:r>
        <w:rPr>
          <w:color w:val="1F2329"/>
          <w:sz w:val="24"/>
          <w:szCs w:val="24"/>
        </w:rPr>
        <w:t>通用安全责任</w:t>
      </w:r>
    </w:p>
    <w:p w14:paraId="6A2749CC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乙方自行划定作业警戒区、设置安全围挡、警示标识，禁止无关人员进入；</w:t>
      </w:r>
    </w:p>
    <w:p w14:paraId="4194E220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施工期间发生人身触电、设备短路、跳闸、火灾、财产损毁等一切安全事故，全部经济赔偿、法律责任由乙方独立承担；</w:t>
      </w:r>
    </w:p>
    <w:p w14:paraId="3922505D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甲方有权对乙方违规施工、无证上岗、材料不合格、恶劣天气强行作业行为立即叫停，拒付对应工程款。</w:t>
      </w:r>
    </w:p>
    <w:p w14:paraId="3D9D95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第五条 验收标准与资料交付</w:t>
      </w:r>
    </w:p>
    <w:p w14:paraId="5B858D4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5.1 二次设备改造验收标准</w:t>
      </w:r>
    </w:p>
    <w:p w14:paraId="70396477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设备原厂包装完好，序列号可核验，无改装翻新；</w:t>
      </w:r>
    </w:p>
    <w:p w14:paraId="7FC5BABD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二次回路试验全部合格，保护、消谐、信号、直流屏、智能操控联动正常，通讯后台功能完整；</w:t>
      </w:r>
    </w:p>
    <w:p w14:paraId="6783BFBE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提供全套竣工资料（合格证、出厂报告、定值单、接线图、竣工图、操作维保手册）一式四份。</w:t>
      </w:r>
    </w:p>
    <w:p w14:paraId="2555C4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5.</w:t>
      </w:r>
      <w:r>
        <w:rPr>
          <w:rFonts w:hint="eastAsia"/>
          <w:color w:val="1F2329"/>
          <w:sz w:val="24"/>
          <w:szCs w:val="24"/>
          <w:lang w:val="en-US" w:eastAsia="zh-CN"/>
        </w:rPr>
        <w:t>2</w:t>
      </w:r>
      <w:r>
        <w:rPr>
          <w:color w:val="1F2329"/>
          <w:sz w:val="24"/>
          <w:szCs w:val="24"/>
        </w:rPr>
        <w:t xml:space="preserve"> 验收流程</w:t>
      </w:r>
    </w:p>
    <w:p w14:paraId="193A8F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乙方完工后提交书面验收申请，甲方 3 个工作日内组织验收；验收不合格乙方在__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__日内无偿整改至合格，工期不予顺延。</w:t>
      </w:r>
    </w:p>
    <w:p w14:paraId="1E1296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第六条 质保、售后与责任划分</w:t>
      </w:r>
    </w:p>
    <w:p w14:paraId="029299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6.1 质保期限</w:t>
      </w:r>
    </w:p>
    <w:p w14:paraId="51A265EF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二次保护整体项目质保 2 年，单台原厂设备单独质保不少于 3 年，质保起算日为整体竣工验收合格之日；</w:t>
      </w:r>
    </w:p>
    <w:p w14:paraId="3511FA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6.2 质保服务内容</w:t>
      </w:r>
    </w:p>
    <w:p w14:paraId="6E119655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质保期内因乙方设备质量、施工工艺违规造成设备短路、跳闸等故障，乙方承担全部维修、停电损失、设备更换费用；</w:t>
      </w:r>
    </w:p>
    <w:p w14:paraId="6F4B0221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售后响应：7×24 小时电话值守；市区 4 小时、郊区 8 小时到场处置</w:t>
      </w:r>
      <w:r>
        <w:rPr>
          <w:rFonts w:hint="eastAsia"/>
          <w:color w:val="1F2329"/>
          <w:sz w:val="24"/>
          <w:szCs w:val="24"/>
          <w:lang w:eastAsia="zh-CN"/>
        </w:rPr>
        <w:t>，</w:t>
      </w:r>
      <w:r>
        <w:rPr>
          <w:color w:val="1F2329"/>
          <w:sz w:val="24"/>
          <w:szCs w:val="24"/>
        </w:rPr>
        <w:t>乙方免费为甲方提供 1 次运维培训，包含定值查看、故障复归、日常巡检、简易故障排查。</w:t>
      </w:r>
    </w:p>
    <w:p w14:paraId="24130C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6.3 非质保范围</w:t>
      </w:r>
    </w:p>
    <w:p w14:paraId="4D3EA0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因设备老旧、甲方违规操作、外力破坏、雷雨大风等自然灾害、设备原有故障导致的损坏，乙方可提供有偿维修服务。</w:t>
      </w:r>
    </w:p>
    <w:p w14:paraId="19A5D5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第七条 双方权利与义务</w:t>
      </w:r>
    </w:p>
    <w:p w14:paraId="02788B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7.1 甲方义务</w:t>
      </w:r>
    </w:p>
    <w:p w14:paraId="02C1B688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提供施工场地、配合停电、协调现场运维人员；</w:t>
      </w:r>
    </w:p>
    <w:p w14:paraId="7DBA438C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按时足额支付合同款项，及时组织竣工验收；</w:t>
      </w:r>
    </w:p>
    <w:p w14:paraId="39C8A884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对乙方违规施工行为有权制止、要求整改。</w:t>
      </w:r>
    </w:p>
    <w:p w14:paraId="7D5716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7.2 乙方义务</w:t>
      </w:r>
    </w:p>
    <w:p w14:paraId="5F236455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严格按照国家、行业标准及本合同约定施工，保证材料、设备、人员全部合规；</w:t>
      </w:r>
    </w:p>
    <w:p w14:paraId="676DB322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做好现场安全防护、文明施工，完工清理场地；</w:t>
      </w:r>
    </w:p>
    <w:p w14:paraId="1D62D417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按期交付完整竣工资料，履行全部质保售后义务；</w:t>
      </w:r>
    </w:p>
    <w:p w14:paraId="0BBC7F2C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施工全程接受甲方安全监督，配合甲方配电台账、保护定值报备工作。</w:t>
      </w:r>
    </w:p>
    <w:p w14:paraId="391DC5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第八条 违约责任</w:t>
      </w:r>
    </w:p>
    <w:p w14:paraId="6BEE63E0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乙方二次改造逾期完工，每日按合同总价 0.5% 支付违约金，逾期超过 10 日甲方有权单方解除合同，乙方退还全部已收款项并赔偿损失；</w:t>
      </w:r>
    </w:p>
    <w:p w14:paraId="1ADEE13A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乙方使用非标、翻新、替代型号设备，或耗材指标不达标，甲方有权直接废标、终止合同，乙方双倍返还已付款项；</w:t>
      </w:r>
    </w:p>
    <w:p w14:paraId="082C9E33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乙方无证施工、违规带电作业、恶劣天气强行施工，甲方可拒付工程款，造成损失由乙方全额赔付；</w:t>
      </w:r>
    </w:p>
    <w:p w14:paraId="1B760E7D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甲方逾期付款，每逾期一日按应付未付款项万分之三支付违约金；因乙方未提供合规发票导致付款顺延，甲方不承担违约责任；</w:t>
      </w:r>
    </w:p>
    <w:p w14:paraId="43F0BFBA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任何一方单方无故解除合同，需向对方支付合同总价 20% 作为违约金。</w:t>
      </w:r>
    </w:p>
    <w:p w14:paraId="0EC08A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第九条 不可抗力</w:t>
      </w:r>
    </w:p>
    <w:p w14:paraId="7DE4A7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因地震、洪水、台风、战争等法定不可抗力导致无法履约，受影响一方及时书面通知对方，双方协商顺延工期或解除合同，互不承担违约责任，已产生合理费用据实结算。</w:t>
      </w:r>
    </w:p>
    <w:p w14:paraId="37059A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第十条 争议解决</w:t>
      </w:r>
    </w:p>
    <w:p w14:paraId="7D936D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本合同履行过程中发生争议，双方优先友好协商；协商不成，提交</w:t>
      </w:r>
      <w:r>
        <w:rPr>
          <w:rStyle w:val="9"/>
          <w:rFonts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项目所在地人民法院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诉讼解决。</w:t>
      </w:r>
    </w:p>
    <w:p w14:paraId="7A8534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第十一条 其他约定</w:t>
      </w:r>
    </w:p>
    <w:p w14:paraId="75D6CFB2"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本合同一式肆份，甲方执</w:t>
      </w:r>
      <w:r>
        <w:rPr>
          <w:rFonts w:hint="eastAsia"/>
          <w:color w:val="1F2329"/>
          <w:sz w:val="24"/>
          <w:szCs w:val="24"/>
          <w:lang w:val="en-US" w:eastAsia="zh-CN"/>
        </w:rPr>
        <w:t>叁</w:t>
      </w:r>
      <w:r>
        <w:rPr>
          <w:color w:val="1F2329"/>
          <w:sz w:val="24"/>
          <w:szCs w:val="24"/>
        </w:rPr>
        <w:t>份，乙方执</w:t>
      </w:r>
      <w:r>
        <w:rPr>
          <w:rFonts w:hint="eastAsia"/>
          <w:color w:val="1F2329"/>
          <w:sz w:val="24"/>
          <w:szCs w:val="24"/>
          <w:lang w:val="en-US" w:eastAsia="zh-CN"/>
        </w:rPr>
        <w:t>壹</w:t>
      </w:r>
      <w:r>
        <w:rPr>
          <w:color w:val="1F2329"/>
          <w:sz w:val="24"/>
          <w:szCs w:val="24"/>
        </w:rPr>
        <w:t>份，双方签字盖章之日起生效；</w:t>
      </w:r>
    </w:p>
    <w:p w14:paraId="3AC631DC"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本合同未尽事宜，双方签订书面补充协议，补充协议与本合同一体有效；</w:t>
      </w:r>
    </w:p>
    <w:p w14:paraId="09737221"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乙方施工、清洗全过程所有安全、环保责任均由乙方独立承担，与甲方无关。</w:t>
      </w:r>
    </w:p>
    <w:p w14:paraId="37E953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0B2B2F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3E4282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甲方（盖章）：____________________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乙方（盖章）：____________________</w:t>
      </w:r>
    </w:p>
    <w:p w14:paraId="3E58B7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781DC7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476B14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法定代表人 / 授权代表签字：______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法定代表人 / 授权代表签字：______</w:t>
      </w:r>
    </w:p>
    <w:p w14:paraId="690184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履约责任人及职务：                   履约责任人及职务：</w:t>
      </w:r>
    </w:p>
    <w:p w14:paraId="59852E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5E5BD2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签订日期：______年____月____日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签订日期：______年____月____日</w:t>
      </w:r>
    </w:p>
    <w:p w14:paraId="24D8C1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1FF18"/>
    <w:multiLevelType w:val="multilevel"/>
    <w:tmpl w:val="8491FF1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627B22F"/>
    <w:multiLevelType w:val="multilevel"/>
    <w:tmpl w:val="9627B22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F3186CC"/>
    <w:multiLevelType w:val="multilevel"/>
    <w:tmpl w:val="AF3186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12CA0A1"/>
    <w:multiLevelType w:val="multilevel"/>
    <w:tmpl w:val="E12CA0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09A4DDF"/>
    <w:multiLevelType w:val="multilevel"/>
    <w:tmpl w:val="F09A4D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63B2976"/>
    <w:multiLevelType w:val="singleLevel"/>
    <w:tmpl w:val="163B2976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6">
    <w:nsid w:val="29C086A1"/>
    <w:multiLevelType w:val="multilevel"/>
    <w:tmpl w:val="29C086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311B3279"/>
    <w:multiLevelType w:val="multilevel"/>
    <w:tmpl w:val="311B327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32C44AF4"/>
    <w:multiLevelType w:val="multilevel"/>
    <w:tmpl w:val="32C44AF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466F43DE"/>
    <w:multiLevelType w:val="multilevel"/>
    <w:tmpl w:val="466F43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48D4FD60"/>
    <w:multiLevelType w:val="multilevel"/>
    <w:tmpl w:val="48D4FD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539157B6"/>
    <w:multiLevelType w:val="multilevel"/>
    <w:tmpl w:val="539157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6602B5F7"/>
    <w:multiLevelType w:val="multilevel"/>
    <w:tmpl w:val="6602B5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6A0A5DB6"/>
    <w:multiLevelType w:val="multilevel"/>
    <w:tmpl w:val="6A0A5D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>
    <w:nsid w:val="75BF9442"/>
    <w:multiLevelType w:val="multilevel"/>
    <w:tmpl w:val="75BF94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4"/>
  </w:num>
  <w:num w:numId="5">
    <w:abstractNumId w:val="4"/>
  </w:num>
  <w:num w:numId="6">
    <w:abstractNumId w:val="6"/>
  </w:num>
  <w:num w:numId="7">
    <w:abstractNumId w:val="9"/>
  </w:num>
  <w:num w:numId="8">
    <w:abstractNumId w:val="0"/>
  </w:num>
  <w:num w:numId="9">
    <w:abstractNumId w:val="7"/>
  </w:num>
  <w:num w:numId="10">
    <w:abstractNumId w:val="12"/>
  </w:num>
  <w:num w:numId="11">
    <w:abstractNumId w:val="1"/>
  </w:num>
  <w:num w:numId="12">
    <w:abstractNumId w:val="10"/>
  </w:num>
  <w:num w:numId="13">
    <w:abstractNumId w:val="1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405CF"/>
    <w:rsid w:val="076B2AF4"/>
    <w:rsid w:val="395A25FA"/>
    <w:rsid w:val="535A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link w:val="2"/>
    <w:qFormat/>
    <w:uiPriority w:val="0"/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2616</Words>
  <Characters>3032</Characters>
  <Lines>0</Lines>
  <Paragraphs>0</Paragraphs>
  <TotalTime>0</TotalTime>
  <ScaleCrop>false</ScaleCrop>
  <LinksUpToDate>false</LinksUpToDate>
  <CharactersWithSpaces>3112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2026-06-18T08:35:00Z</dcterms:created>
  <dc:creator>Administrator</dc:creator>
  <cp:lastModifiedBy>梁天洋</cp:lastModifiedBy>
  <dcterms:modified xsi:type="dcterms:W3CDTF">2026-08-20T08:31:00Z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eyJoZGlkIjoiMDFhNjA3MWViZDE4YjI5NjFlYjQ2YjI1NzY5ZTQwNGMiLCJ1c2VySWQiOiIxNTMwNzgzMDQ2In0=</vt:lpwstr>
  </property>
  <property fmtid="{D5CDD505-2E9C-101B-9397-08002B2CF9AE}" pid="4" name="ICV">
    <vt:lpwstr>F9F6E743579D45739C88F2AF5644E995_12</vt:lpwstr>
  </property>
</Properties>
</file>